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hint="eastAsia" w:ascii="黑体" w:hAnsi="黑体" w:eastAsia="黑体" w:cs="黑体"/>
          <w:b/>
          <w:color w:val="000000"/>
          <w:sz w:val="44"/>
          <w:lang w:val="en-US" w:eastAsia="zh-CN"/>
        </w:rPr>
        <w:t>霸州市档案馆</w:t>
      </w:r>
      <w:r>
        <w:rPr>
          <w:rFonts w:ascii="黑体" w:hAnsi="黑体" w:eastAsia="黑体" w:cs="黑体"/>
          <w:b/>
          <w:color w:val="000000"/>
          <w:sz w:val="44"/>
        </w:rPr>
        <w:t>2022年</w:t>
      </w:r>
    </w:p>
    <w:p>
      <w:pPr>
        <w:jc w:val="center"/>
        <w:outlineLvl w:val="0"/>
      </w:pP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4</w:t>
      </w:r>
      <w:r>
        <w:fldChar w:fldCharType="end"/>
      </w:r>
    </w:p>
    <w:p>
      <w:pPr>
        <w:pStyle w:val="32"/>
        <w:tabs>
          <w:tab w:val="right" w:leader="dot" w:pos="14562"/>
        </w:tabs>
        <w:rPr>
          <w:color w:val="000000" w:themeColor="text1"/>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5</w:t>
      </w:r>
      <w:r>
        <w:fldChar w:fldCharType="end"/>
      </w:r>
    </w:p>
    <w:p>
      <w:pPr>
        <w:pStyle w:val="3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7</w:t>
      </w:r>
      <w:r>
        <w:fldChar w:fldCharType="end"/>
      </w:r>
    </w:p>
    <w:p>
      <w:pPr>
        <w:pStyle w:val="32"/>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8</w:t>
      </w:r>
      <w:r>
        <w:fldChar w:fldCharType="end"/>
      </w:r>
    </w:p>
    <w:p>
      <w:pPr>
        <w:pStyle w:val="32"/>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0</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1</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3</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5</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2"/>
        <w:tabs>
          <w:tab w:val="right" w:leader="dot" w:pos="14562"/>
        </w:tabs>
        <w:sectPr>
          <w:footerReference r:id="rId3" w:type="default"/>
          <w:footerReference r:id="rId4" w:type="even"/>
          <w:pgSz w:w="16840" w:h="11900" w:orient="landscape"/>
          <w:pgMar w:top="1361" w:right="1020" w:bottom="1134" w:left="1020" w:header="720" w:footer="720" w:gutter="0"/>
          <w:pgNumType w:fmt="decimal"/>
          <w:cols w:space="720" w:num="1"/>
        </w:sectPr>
      </w:pP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20</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21</w:t>
      </w:r>
      <w:r>
        <w:fldChar w:fldCharType="end"/>
      </w:r>
      <w:r>
        <w:fldChar w:fldCharType="end"/>
      </w:r>
    </w:p>
    <w:p>
      <w:r>
        <w:fldChar w:fldCharType="end"/>
      </w: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222.89</w:t>
            </w:r>
          </w:p>
        </w:tc>
        <w:tc>
          <w:tcPr>
            <w:tcW w:w="4535" w:type="dxa"/>
            <w:vAlign w:val="center"/>
          </w:tcPr>
          <w:p>
            <w:pPr>
              <w:pStyle w:val="12"/>
            </w:pPr>
            <w:r>
              <w:t>一、一般公共服务支出</w:t>
            </w:r>
          </w:p>
        </w:tc>
        <w:tc>
          <w:tcPr>
            <w:tcW w:w="2126" w:type="dxa"/>
            <w:vAlign w:val="center"/>
          </w:tcPr>
          <w:p>
            <w:pPr>
              <w:pStyle w:val="11"/>
            </w:pPr>
            <w:r>
              <w:t>173.56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222.89</w:t>
            </w:r>
          </w:p>
        </w:tc>
        <w:tc>
          <w:tcPr>
            <w:tcW w:w="4535" w:type="dxa"/>
            <w:vAlign w:val="center"/>
          </w:tcPr>
          <w:p>
            <w:pPr>
              <w:pStyle w:val="14"/>
            </w:pPr>
            <w:r>
              <w:t>本年支出合计</w:t>
            </w:r>
          </w:p>
        </w:tc>
        <w:tc>
          <w:tcPr>
            <w:tcW w:w="2126" w:type="dxa"/>
            <w:vAlign w:val="center"/>
          </w:tcPr>
          <w:p>
            <w:pPr>
              <w:pStyle w:val="15"/>
            </w:pPr>
            <w:r>
              <w:t>222.89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222.89</w:t>
            </w:r>
          </w:p>
        </w:tc>
        <w:tc>
          <w:tcPr>
            <w:tcW w:w="4535" w:type="dxa"/>
            <w:vAlign w:val="center"/>
          </w:tcPr>
          <w:p>
            <w:pPr>
              <w:pStyle w:val="14"/>
            </w:pPr>
            <w:r>
              <w:t>支出总计</w:t>
            </w:r>
          </w:p>
        </w:tc>
        <w:tc>
          <w:tcPr>
            <w:tcW w:w="2126" w:type="dxa"/>
            <w:vAlign w:val="center"/>
          </w:tcPr>
          <w:p>
            <w:pPr>
              <w:pStyle w:val="15"/>
            </w:pPr>
            <w:r>
              <w:t>222.89</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222.89</w:t>
            </w:r>
          </w:p>
        </w:tc>
        <w:tc>
          <w:tcPr>
            <w:tcW w:w="1134" w:type="dxa"/>
            <w:vAlign w:val="center"/>
          </w:tcPr>
          <w:p>
            <w:pPr>
              <w:pStyle w:val="15"/>
            </w:pPr>
            <w:r>
              <w:t>222.89</w:t>
            </w:r>
          </w:p>
        </w:tc>
        <w:tc>
          <w:tcPr>
            <w:tcW w:w="1134" w:type="dxa"/>
            <w:vAlign w:val="center"/>
          </w:tcPr>
          <w:p>
            <w:pPr>
              <w:pStyle w:val="15"/>
            </w:pPr>
            <w:r>
              <w:t>222.89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20126</w:t>
            </w:r>
          </w:p>
        </w:tc>
        <w:tc>
          <w:tcPr>
            <w:tcW w:w="1559" w:type="dxa"/>
            <w:vAlign w:val="center"/>
          </w:tcPr>
          <w:p>
            <w:pPr>
              <w:pStyle w:val="12"/>
            </w:pPr>
            <w:r>
              <w:t>档案事务</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2012601</w:t>
            </w:r>
          </w:p>
        </w:tc>
        <w:tc>
          <w:tcPr>
            <w:tcW w:w="1559" w:type="dxa"/>
            <w:vAlign w:val="center"/>
          </w:tcPr>
          <w:p>
            <w:pPr>
              <w:pStyle w:val="12"/>
            </w:pPr>
            <w:r>
              <w:t>行政运行</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r>
              <w:t>173.56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r>
              <w:t>33.08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18.36</w:t>
            </w:r>
          </w:p>
        </w:tc>
        <w:tc>
          <w:tcPr>
            <w:tcW w:w="1134" w:type="dxa"/>
            <w:vAlign w:val="center"/>
          </w:tcPr>
          <w:p>
            <w:pPr>
              <w:pStyle w:val="11"/>
            </w:pPr>
            <w:r>
              <w:t>18.36</w:t>
            </w:r>
          </w:p>
        </w:tc>
        <w:tc>
          <w:tcPr>
            <w:tcW w:w="1134" w:type="dxa"/>
            <w:vAlign w:val="center"/>
          </w:tcPr>
          <w:p>
            <w:pPr>
              <w:pStyle w:val="11"/>
            </w:pPr>
            <w:r>
              <w:t>18.36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14.72</w:t>
            </w:r>
          </w:p>
        </w:tc>
        <w:tc>
          <w:tcPr>
            <w:tcW w:w="1134" w:type="dxa"/>
            <w:vAlign w:val="center"/>
          </w:tcPr>
          <w:p>
            <w:pPr>
              <w:pStyle w:val="11"/>
            </w:pPr>
            <w:r>
              <w:t>14.72</w:t>
            </w:r>
          </w:p>
        </w:tc>
        <w:tc>
          <w:tcPr>
            <w:tcW w:w="1134" w:type="dxa"/>
            <w:vAlign w:val="center"/>
          </w:tcPr>
          <w:p>
            <w:pPr>
              <w:pStyle w:val="11"/>
            </w:pPr>
            <w:r>
              <w:t>14.72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r>
              <w:t>5.21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r>
              <w:t>11.04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222.89</w:t>
            </w:r>
          </w:p>
        </w:tc>
        <w:tc>
          <w:tcPr>
            <w:tcW w:w="1361" w:type="dxa"/>
            <w:vAlign w:val="center"/>
          </w:tcPr>
          <w:p>
            <w:pPr>
              <w:pStyle w:val="15"/>
            </w:pPr>
            <w:r>
              <w:t>222.89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173.56</w:t>
            </w:r>
          </w:p>
        </w:tc>
        <w:tc>
          <w:tcPr>
            <w:tcW w:w="1361" w:type="dxa"/>
            <w:vAlign w:val="center"/>
          </w:tcPr>
          <w:p>
            <w:pPr>
              <w:pStyle w:val="11"/>
            </w:pPr>
            <w:r>
              <w:t>173.56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20126</w:t>
            </w:r>
          </w:p>
        </w:tc>
        <w:tc>
          <w:tcPr>
            <w:tcW w:w="4535" w:type="dxa"/>
            <w:vAlign w:val="center"/>
          </w:tcPr>
          <w:p>
            <w:pPr>
              <w:pStyle w:val="12"/>
            </w:pPr>
            <w:r>
              <w:t>档案事务</w:t>
            </w:r>
          </w:p>
        </w:tc>
        <w:tc>
          <w:tcPr>
            <w:tcW w:w="1361" w:type="dxa"/>
            <w:vAlign w:val="center"/>
          </w:tcPr>
          <w:p>
            <w:pPr>
              <w:pStyle w:val="11"/>
            </w:pPr>
            <w:r>
              <w:t>173.56</w:t>
            </w:r>
          </w:p>
        </w:tc>
        <w:tc>
          <w:tcPr>
            <w:tcW w:w="1361" w:type="dxa"/>
            <w:vAlign w:val="center"/>
          </w:tcPr>
          <w:p>
            <w:pPr>
              <w:pStyle w:val="11"/>
            </w:pPr>
            <w:r>
              <w:t>173.56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2012601</w:t>
            </w:r>
          </w:p>
        </w:tc>
        <w:tc>
          <w:tcPr>
            <w:tcW w:w="4535" w:type="dxa"/>
            <w:vAlign w:val="center"/>
          </w:tcPr>
          <w:p>
            <w:pPr>
              <w:pStyle w:val="12"/>
            </w:pPr>
            <w:r>
              <w:t>行政运行</w:t>
            </w:r>
          </w:p>
        </w:tc>
        <w:tc>
          <w:tcPr>
            <w:tcW w:w="1361" w:type="dxa"/>
            <w:vAlign w:val="center"/>
          </w:tcPr>
          <w:p>
            <w:pPr>
              <w:pStyle w:val="11"/>
            </w:pPr>
            <w:r>
              <w:t>173.56</w:t>
            </w:r>
          </w:p>
        </w:tc>
        <w:tc>
          <w:tcPr>
            <w:tcW w:w="1361" w:type="dxa"/>
            <w:vAlign w:val="center"/>
          </w:tcPr>
          <w:p>
            <w:pPr>
              <w:pStyle w:val="11"/>
            </w:pPr>
            <w:r>
              <w:t>173.56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33.08</w:t>
            </w:r>
          </w:p>
        </w:tc>
        <w:tc>
          <w:tcPr>
            <w:tcW w:w="1361" w:type="dxa"/>
            <w:vAlign w:val="center"/>
          </w:tcPr>
          <w:p>
            <w:pPr>
              <w:pStyle w:val="11"/>
            </w:pPr>
            <w:r>
              <w:t>33.08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33.08</w:t>
            </w:r>
          </w:p>
        </w:tc>
        <w:tc>
          <w:tcPr>
            <w:tcW w:w="1361" w:type="dxa"/>
            <w:vAlign w:val="center"/>
          </w:tcPr>
          <w:p>
            <w:pPr>
              <w:pStyle w:val="11"/>
            </w:pPr>
            <w:r>
              <w:t>33.08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18.36</w:t>
            </w:r>
          </w:p>
        </w:tc>
        <w:tc>
          <w:tcPr>
            <w:tcW w:w="1361" w:type="dxa"/>
            <w:vAlign w:val="center"/>
          </w:tcPr>
          <w:p>
            <w:pPr>
              <w:pStyle w:val="11"/>
            </w:pPr>
            <w:r>
              <w:t>18.36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14.72</w:t>
            </w:r>
          </w:p>
        </w:tc>
        <w:tc>
          <w:tcPr>
            <w:tcW w:w="1361" w:type="dxa"/>
            <w:vAlign w:val="center"/>
          </w:tcPr>
          <w:p>
            <w:pPr>
              <w:pStyle w:val="11"/>
            </w:pPr>
            <w:r>
              <w:t>14.72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5.21</w:t>
            </w:r>
          </w:p>
        </w:tc>
        <w:tc>
          <w:tcPr>
            <w:tcW w:w="1361" w:type="dxa"/>
            <w:vAlign w:val="center"/>
          </w:tcPr>
          <w:p>
            <w:pPr>
              <w:pStyle w:val="11"/>
            </w:pPr>
            <w:r>
              <w:t>5.21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5.21</w:t>
            </w:r>
          </w:p>
        </w:tc>
        <w:tc>
          <w:tcPr>
            <w:tcW w:w="1361" w:type="dxa"/>
            <w:vAlign w:val="center"/>
          </w:tcPr>
          <w:p>
            <w:pPr>
              <w:pStyle w:val="11"/>
            </w:pPr>
            <w:r>
              <w:t>5.21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5.21</w:t>
            </w:r>
          </w:p>
        </w:tc>
        <w:tc>
          <w:tcPr>
            <w:tcW w:w="1361" w:type="dxa"/>
            <w:vAlign w:val="center"/>
          </w:tcPr>
          <w:p>
            <w:pPr>
              <w:pStyle w:val="11"/>
            </w:pPr>
            <w:r>
              <w:t>5.21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11.04</w:t>
            </w:r>
          </w:p>
        </w:tc>
        <w:tc>
          <w:tcPr>
            <w:tcW w:w="1361" w:type="dxa"/>
            <w:vAlign w:val="center"/>
          </w:tcPr>
          <w:p>
            <w:pPr>
              <w:pStyle w:val="11"/>
            </w:pPr>
            <w:r>
              <w:t>11.04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11.04</w:t>
            </w:r>
          </w:p>
        </w:tc>
        <w:tc>
          <w:tcPr>
            <w:tcW w:w="1361" w:type="dxa"/>
            <w:vAlign w:val="center"/>
          </w:tcPr>
          <w:p>
            <w:pPr>
              <w:pStyle w:val="11"/>
            </w:pPr>
            <w:r>
              <w:t>11.04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11.04</w:t>
            </w:r>
          </w:p>
        </w:tc>
        <w:tc>
          <w:tcPr>
            <w:tcW w:w="1361" w:type="dxa"/>
            <w:vAlign w:val="center"/>
          </w:tcPr>
          <w:p>
            <w:pPr>
              <w:pStyle w:val="11"/>
            </w:pPr>
            <w:r>
              <w:t>11.04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222.89</w:t>
            </w:r>
          </w:p>
        </w:tc>
        <w:tc>
          <w:tcPr>
            <w:tcW w:w="3402" w:type="dxa"/>
            <w:vAlign w:val="center"/>
          </w:tcPr>
          <w:p>
            <w:pPr>
              <w:pStyle w:val="12"/>
            </w:pPr>
            <w:r>
              <w:t>一、一般公共服务支出</w:t>
            </w:r>
          </w:p>
        </w:tc>
        <w:tc>
          <w:tcPr>
            <w:tcW w:w="1474" w:type="dxa"/>
            <w:vAlign w:val="center"/>
          </w:tcPr>
          <w:p>
            <w:pPr>
              <w:pStyle w:val="11"/>
            </w:pPr>
            <w:r>
              <w:t>173.56</w:t>
            </w:r>
          </w:p>
        </w:tc>
        <w:tc>
          <w:tcPr>
            <w:tcW w:w="1474" w:type="dxa"/>
            <w:vAlign w:val="center"/>
          </w:tcPr>
          <w:p>
            <w:pPr>
              <w:pStyle w:val="11"/>
            </w:pPr>
            <w:r>
              <w:t>173.56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33.08</w:t>
            </w:r>
          </w:p>
        </w:tc>
        <w:tc>
          <w:tcPr>
            <w:tcW w:w="1474" w:type="dxa"/>
            <w:vAlign w:val="center"/>
          </w:tcPr>
          <w:p>
            <w:pPr>
              <w:pStyle w:val="11"/>
            </w:pPr>
            <w:r>
              <w:t>33.08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5.21</w:t>
            </w:r>
          </w:p>
        </w:tc>
        <w:tc>
          <w:tcPr>
            <w:tcW w:w="1474" w:type="dxa"/>
            <w:vAlign w:val="center"/>
          </w:tcPr>
          <w:p>
            <w:pPr>
              <w:pStyle w:val="11"/>
            </w:pPr>
            <w:r>
              <w:t>5.21</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11.04</w:t>
            </w:r>
          </w:p>
        </w:tc>
        <w:tc>
          <w:tcPr>
            <w:tcW w:w="1474" w:type="dxa"/>
            <w:vAlign w:val="center"/>
          </w:tcPr>
          <w:p>
            <w:pPr>
              <w:pStyle w:val="11"/>
            </w:pPr>
            <w:r>
              <w:t>11.04</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222.89</w:t>
            </w:r>
          </w:p>
        </w:tc>
        <w:tc>
          <w:tcPr>
            <w:tcW w:w="3402" w:type="dxa"/>
            <w:vAlign w:val="center"/>
          </w:tcPr>
          <w:p>
            <w:pPr>
              <w:pStyle w:val="14"/>
            </w:pPr>
            <w:r>
              <w:t>本年支出合计</w:t>
            </w:r>
          </w:p>
        </w:tc>
        <w:tc>
          <w:tcPr>
            <w:tcW w:w="1474" w:type="dxa"/>
            <w:vAlign w:val="center"/>
          </w:tcPr>
          <w:p>
            <w:pPr>
              <w:pStyle w:val="15"/>
            </w:pPr>
            <w:r>
              <w:t>222.89</w:t>
            </w:r>
          </w:p>
        </w:tc>
        <w:tc>
          <w:tcPr>
            <w:tcW w:w="1474" w:type="dxa"/>
            <w:vAlign w:val="center"/>
          </w:tcPr>
          <w:p>
            <w:pPr>
              <w:pStyle w:val="15"/>
            </w:pPr>
            <w:r>
              <w:t>222.89</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222.89</w:t>
            </w:r>
          </w:p>
        </w:tc>
        <w:tc>
          <w:tcPr>
            <w:tcW w:w="3402" w:type="dxa"/>
            <w:vAlign w:val="center"/>
          </w:tcPr>
          <w:p>
            <w:pPr>
              <w:pStyle w:val="14"/>
            </w:pPr>
            <w:r>
              <w:t>支出总计</w:t>
            </w:r>
          </w:p>
        </w:tc>
        <w:tc>
          <w:tcPr>
            <w:tcW w:w="1474" w:type="dxa"/>
            <w:vAlign w:val="center"/>
          </w:tcPr>
          <w:p>
            <w:pPr>
              <w:pStyle w:val="15"/>
            </w:pPr>
            <w:r>
              <w:t>222.89</w:t>
            </w:r>
          </w:p>
        </w:tc>
        <w:tc>
          <w:tcPr>
            <w:tcW w:w="1474" w:type="dxa"/>
            <w:vAlign w:val="center"/>
          </w:tcPr>
          <w:p>
            <w:pPr>
              <w:pStyle w:val="15"/>
            </w:pPr>
            <w:r>
              <w:t>222.89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222.89</w:t>
            </w:r>
          </w:p>
        </w:tc>
        <w:tc>
          <w:tcPr>
            <w:tcW w:w="2551" w:type="dxa"/>
            <w:vAlign w:val="center"/>
          </w:tcPr>
          <w:p>
            <w:pPr>
              <w:pStyle w:val="15"/>
            </w:pPr>
            <w:r>
              <w:t>222.89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173.56</w:t>
            </w:r>
          </w:p>
        </w:tc>
        <w:tc>
          <w:tcPr>
            <w:tcW w:w="2551" w:type="dxa"/>
            <w:vAlign w:val="center"/>
          </w:tcPr>
          <w:p>
            <w:pPr>
              <w:pStyle w:val="11"/>
            </w:pPr>
            <w:r>
              <w:t>173.56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20126</w:t>
            </w:r>
          </w:p>
        </w:tc>
        <w:tc>
          <w:tcPr>
            <w:tcW w:w="4535" w:type="dxa"/>
            <w:vAlign w:val="center"/>
          </w:tcPr>
          <w:p>
            <w:pPr>
              <w:pStyle w:val="12"/>
            </w:pPr>
            <w:r>
              <w:t>档案事务</w:t>
            </w:r>
          </w:p>
        </w:tc>
        <w:tc>
          <w:tcPr>
            <w:tcW w:w="2551" w:type="dxa"/>
            <w:vAlign w:val="center"/>
          </w:tcPr>
          <w:p>
            <w:pPr>
              <w:pStyle w:val="11"/>
            </w:pPr>
            <w:r>
              <w:t>173.56</w:t>
            </w:r>
          </w:p>
        </w:tc>
        <w:tc>
          <w:tcPr>
            <w:tcW w:w="2551" w:type="dxa"/>
            <w:vAlign w:val="center"/>
          </w:tcPr>
          <w:p>
            <w:pPr>
              <w:pStyle w:val="11"/>
            </w:pPr>
            <w:r>
              <w:t>173.56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2012601</w:t>
            </w:r>
          </w:p>
        </w:tc>
        <w:tc>
          <w:tcPr>
            <w:tcW w:w="4535" w:type="dxa"/>
            <w:vAlign w:val="center"/>
          </w:tcPr>
          <w:p>
            <w:pPr>
              <w:pStyle w:val="12"/>
            </w:pPr>
            <w:r>
              <w:t>行政运行</w:t>
            </w:r>
          </w:p>
        </w:tc>
        <w:tc>
          <w:tcPr>
            <w:tcW w:w="2551" w:type="dxa"/>
            <w:vAlign w:val="center"/>
          </w:tcPr>
          <w:p>
            <w:pPr>
              <w:pStyle w:val="11"/>
            </w:pPr>
            <w:r>
              <w:t>173.56</w:t>
            </w:r>
          </w:p>
        </w:tc>
        <w:tc>
          <w:tcPr>
            <w:tcW w:w="2551" w:type="dxa"/>
            <w:vAlign w:val="center"/>
          </w:tcPr>
          <w:p>
            <w:pPr>
              <w:pStyle w:val="11"/>
            </w:pPr>
            <w:r>
              <w:t>173.56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33.08</w:t>
            </w:r>
          </w:p>
        </w:tc>
        <w:tc>
          <w:tcPr>
            <w:tcW w:w="2551" w:type="dxa"/>
            <w:vAlign w:val="center"/>
          </w:tcPr>
          <w:p>
            <w:pPr>
              <w:pStyle w:val="11"/>
            </w:pPr>
            <w:r>
              <w:t>33.08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33.08</w:t>
            </w:r>
          </w:p>
        </w:tc>
        <w:tc>
          <w:tcPr>
            <w:tcW w:w="2551" w:type="dxa"/>
            <w:vAlign w:val="center"/>
          </w:tcPr>
          <w:p>
            <w:pPr>
              <w:pStyle w:val="11"/>
            </w:pPr>
            <w:r>
              <w:t>33.08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18.36</w:t>
            </w:r>
          </w:p>
        </w:tc>
        <w:tc>
          <w:tcPr>
            <w:tcW w:w="2551" w:type="dxa"/>
            <w:vAlign w:val="center"/>
          </w:tcPr>
          <w:p>
            <w:pPr>
              <w:pStyle w:val="11"/>
            </w:pPr>
            <w:r>
              <w:t>18.36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14.72</w:t>
            </w:r>
          </w:p>
        </w:tc>
        <w:tc>
          <w:tcPr>
            <w:tcW w:w="2551" w:type="dxa"/>
            <w:vAlign w:val="center"/>
          </w:tcPr>
          <w:p>
            <w:pPr>
              <w:pStyle w:val="11"/>
            </w:pPr>
            <w:r>
              <w:t>14.72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w:t>
            </w:r>
            <w:r>
              <w:rPr>
                <w:rFonts w:hint="eastAsia"/>
                <w:lang w:eastAsia="zh-CN"/>
              </w:rPr>
              <w:t>单位</w:t>
            </w:r>
            <w:r>
              <w:t>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222.89</w:t>
            </w:r>
          </w:p>
        </w:tc>
        <w:tc>
          <w:tcPr>
            <w:tcW w:w="2551" w:type="dxa"/>
            <w:vAlign w:val="center"/>
          </w:tcPr>
          <w:p>
            <w:pPr>
              <w:pStyle w:val="15"/>
            </w:pPr>
            <w:r>
              <w:t>188.88</w:t>
            </w:r>
          </w:p>
        </w:tc>
        <w:tc>
          <w:tcPr>
            <w:tcW w:w="2551" w:type="dxa"/>
            <w:vAlign w:val="center"/>
          </w:tcPr>
          <w:p>
            <w:pPr>
              <w:pStyle w:val="15"/>
            </w:pPr>
            <w:r>
              <w:t>34.01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156.26</w:t>
            </w:r>
          </w:p>
        </w:tc>
        <w:tc>
          <w:tcPr>
            <w:tcW w:w="2551" w:type="dxa"/>
            <w:vAlign w:val="center"/>
          </w:tcPr>
          <w:p>
            <w:pPr>
              <w:pStyle w:val="11"/>
            </w:pPr>
            <w:r>
              <w:t>156.26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50.55</w:t>
            </w:r>
          </w:p>
        </w:tc>
        <w:tc>
          <w:tcPr>
            <w:tcW w:w="2551" w:type="dxa"/>
            <w:vAlign w:val="center"/>
          </w:tcPr>
          <w:p>
            <w:pPr>
              <w:pStyle w:val="11"/>
            </w:pPr>
            <w:r>
              <w:t>50.55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46.05</w:t>
            </w:r>
          </w:p>
        </w:tc>
        <w:tc>
          <w:tcPr>
            <w:tcW w:w="2551" w:type="dxa"/>
            <w:vAlign w:val="center"/>
          </w:tcPr>
          <w:p>
            <w:pPr>
              <w:pStyle w:val="11"/>
            </w:pPr>
            <w:r>
              <w:t>46.05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23.08</w:t>
            </w:r>
          </w:p>
        </w:tc>
        <w:tc>
          <w:tcPr>
            <w:tcW w:w="2551" w:type="dxa"/>
            <w:vAlign w:val="center"/>
          </w:tcPr>
          <w:p>
            <w:pPr>
              <w:pStyle w:val="11"/>
            </w:pPr>
            <w:r>
              <w:t>23.08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5.15</w:t>
            </w:r>
          </w:p>
        </w:tc>
        <w:tc>
          <w:tcPr>
            <w:tcW w:w="2551" w:type="dxa"/>
            <w:vAlign w:val="center"/>
          </w:tcPr>
          <w:p>
            <w:pPr>
              <w:pStyle w:val="11"/>
            </w:pPr>
            <w:r>
              <w:t>5.15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14.72</w:t>
            </w:r>
          </w:p>
        </w:tc>
        <w:tc>
          <w:tcPr>
            <w:tcW w:w="2551" w:type="dxa"/>
            <w:vAlign w:val="center"/>
          </w:tcPr>
          <w:p>
            <w:pPr>
              <w:pStyle w:val="11"/>
            </w:pPr>
            <w:r>
              <w:t>14.72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5.21</w:t>
            </w:r>
          </w:p>
        </w:tc>
        <w:tc>
          <w:tcPr>
            <w:tcW w:w="2551" w:type="dxa"/>
            <w:vAlign w:val="center"/>
          </w:tcPr>
          <w:p>
            <w:pPr>
              <w:pStyle w:val="11"/>
            </w:pPr>
            <w:r>
              <w:t>5.21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0.46</w:t>
            </w:r>
          </w:p>
        </w:tc>
        <w:tc>
          <w:tcPr>
            <w:tcW w:w="2551" w:type="dxa"/>
            <w:vAlign w:val="center"/>
          </w:tcPr>
          <w:p>
            <w:pPr>
              <w:pStyle w:val="11"/>
            </w:pPr>
            <w:r>
              <w:t>0.46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11.04</w:t>
            </w:r>
          </w:p>
        </w:tc>
        <w:tc>
          <w:tcPr>
            <w:tcW w:w="2551" w:type="dxa"/>
            <w:vAlign w:val="center"/>
          </w:tcPr>
          <w:p>
            <w:pPr>
              <w:pStyle w:val="11"/>
            </w:pPr>
            <w:r>
              <w:t>11.04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34.01</w:t>
            </w:r>
          </w:p>
        </w:tc>
        <w:tc>
          <w:tcPr>
            <w:tcW w:w="2551" w:type="dxa"/>
            <w:vAlign w:val="center"/>
          </w:tcPr>
          <w:p>
            <w:pPr>
              <w:pStyle w:val="11"/>
            </w:pPr>
          </w:p>
        </w:tc>
        <w:tc>
          <w:tcPr>
            <w:tcW w:w="2551" w:type="dxa"/>
            <w:vAlign w:val="center"/>
          </w:tcPr>
          <w:p>
            <w:pPr>
              <w:pStyle w:val="11"/>
            </w:pPr>
            <w:r>
              <w:t>34.01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5.66</w:t>
            </w:r>
          </w:p>
        </w:tc>
        <w:tc>
          <w:tcPr>
            <w:tcW w:w="2551" w:type="dxa"/>
            <w:vAlign w:val="center"/>
          </w:tcPr>
          <w:p>
            <w:pPr>
              <w:pStyle w:val="11"/>
            </w:pPr>
          </w:p>
        </w:tc>
        <w:tc>
          <w:tcPr>
            <w:tcW w:w="2551" w:type="dxa"/>
            <w:vAlign w:val="center"/>
          </w:tcPr>
          <w:p>
            <w:pPr>
              <w:pStyle w:val="11"/>
            </w:pPr>
            <w: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0.11</w:t>
            </w:r>
          </w:p>
        </w:tc>
        <w:tc>
          <w:tcPr>
            <w:tcW w:w="2551" w:type="dxa"/>
            <w:vAlign w:val="center"/>
          </w:tcPr>
          <w:p>
            <w:pPr>
              <w:pStyle w:val="11"/>
            </w:pPr>
          </w:p>
        </w:tc>
        <w:tc>
          <w:tcPr>
            <w:tcW w:w="2551" w:type="dxa"/>
            <w:vAlign w:val="center"/>
          </w:tcPr>
          <w:p>
            <w:pPr>
              <w:pStyle w:val="11"/>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0.88</w:t>
            </w:r>
          </w:p>
        </w:tc>
        <w:tc>
          <w:tcPr>
            <w:tcW w:w="2551" w:type="dxa"/>
            <w:vAlign w:val="center"/>
          </w:tcPr>
          <w:p>
            <w:pPr>
              <w:pStyle w:val="11"/>
            </w:pPr>
          </w:p>
        </w:tc>
        <w:tc>
          <w:tcPr>
            <w:tcW w:w="2551" w:type="dxa"/>
            <w:vAlign w:val="center"/>
          </w:tcPr>
          <w:p>
            <w:pPr>
              <w:pStyle w:val="11"/>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6.78</w:t>
            </w:r>
          </w:p>
        </w:tc>
        <w:tc>
          <w:tcPr>
            <w:tcW w:w="2551" w:type="dxa"/>
            <w:vAlign w:val="center"/>
          </w:tcPr>
          <w:p>
            <w:pPr>
              <w:pStyle w:val="11"/>
            </w:pPr>
          </w:p>
        </w:tc>
        <w:tc>
          <w:tcPr>
            <w:tcW w:w="2551" w:type="dxa"/>
            <w:vAlign w:val="center"/>
          </w:tcPr>
          <w:p>
            <w:pPr>
              <w:pStyle w:val="11"/>
            </w:pPr>
            <w:r>
              <w:t>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2.28</w:t>
            </w:r>
          </w:p>
        </w:tc>
        <w:tc>
          <w:tcPr>
            <w:tcW w:w="2551" w:type="dxa"/>
            <w:vAlign w:val="center"/>
          </w:tcPr>
          <w:p>
            <w:pPr>
              <w:pStyle w:val="11"/>
            </w:pPr>
          </w:p>
        </w:tc>
        <w:tc>
          <w:tcPr>
            <w:tcW w:w="2551" w:type="dxa"/>
            <w:vAlign w:val="center"/>
          </w:tcPr>
          <w:p>
            <w:pPr>
              <w:pStyle w:val="11"/>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1.10</w:t>
            </w:r>
          </w:p>
        </w:tc>
        <w:tc>
          <w:tcPr>
            <w:tcW w:w="2551" w:type="dxa"/>
            <w:vAlign w:val="center"/>
          </w:tcPr>
          <w:p>
            <w:pPr>
              <w:pStyle w:val="11"/>
            </w:pPr>
          </w:p>
        </w:tc>
        <w:tc>
          <w:tcPr>
            <w:tcW w:w="2551" w:type="dxa"/>
            <w:vAlign w:val="center"/>
          </w:tcPr>
          <w:p>
            <w:pPr>
              <w:pStyle w:val="11"/>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0.44</w:t>
            </w:r>
          </w:p>
        </w:tc>
        <w:tc>
          <w:tcPr>
            <w:tcW w:w="2551" w:type="dxa"/>
            <w:vAlign w:val="center"/>
          </w:tcPr>
          <w:p>
            <w:pPr>
              <w:pStyle w:val="11"/>
            </w:pPr>
          </w:p>
        </w:tc>
        <w:tc>
          <w:tcPr>
            <w:tcW w:w="2551" w:type="dxa"/>
            <w:vAlign w:val="center"/>
          </w:tcPr>
          <w:p>
            <w:pPr>
              <w:pStyle w:val="11"/>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0.62</w:t>
            </w:r>
          </w:p>
        </w:tc>
        <w:tc>
          <w:tcPr>
            <w:tcW w:w="2551" w:type="dxa"/>
            <w:vAlign w:val="center"/>
          </w:tcPr>
          <w:p>
            <w:pPr>
              <w:pStyle w:val="11"/>
            </w:pPr>
          </w:p>
        </w:tc>
        <w:tc>
          <w:tcPr>
            <w:tcW w:w="2551" w:type="dxa"/>
            <w:vAlign w:val="center"/>
          </w:tcPr>
          <w:p>
            <w:pPr>
              <w:pStyle w:val="11"/>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4.00</w:t>
            </w:r>
          </w:p>
        </w:tc>
        <w:tc>
          <w:tcPr>
            <w:tcW w:w="2551" w:type="dxa"/>
            <w:vAlign w:val="center"/>
          </w:tcPr>
          <w:p>
            <w:pPr>
              <w:pStyle w:val="11"/>
            </w:pPr>
          </w:p>
        </w:tc>
        <w:tc>
          <w:tcPr>
            <w:tcW w:w="2551"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1.84</w:t>
            </w:r>
          </w:p>
        </w:tc>
        <w:tc>
          <w:tcPr>
            <w:tcW w:w="2551" w:type="dxa"/>
            <w:vAlign w:val="center"/>
          </w:tcPr>
          <w:p>
            <w:pPr>
              <w:pStyle w:val="11"/>
            </w:pPr>
          </w:p>
        </w:tc>
        <w:tc>
          <w:tcPr>
            <w:tcW w:w="2551" w:type="dxa"/>
            <w:vAlign w:val="center"/>
          </w:tcPr>
          <w:p>
            <w:pPr>
              <w:pStyle w:val="11"/>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2.38</w:t>
            </w:r>
          </w:p>
        </w:tc>
        <w:tc>
          <w:tcPr>
            <w:tcW w:w="2551" w:type="dxa"/>
            <w:vAlign w:val="center"/>
          </w:tcPr>
          <w:p>
            <w:pPr>
              <w:pStyle w:val="11"/>
            </w:pPr>
          </w:p>
        </w:tc>
        <w:tc>
          <w:tcPr>
            <w:tcW w:w="2551"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6.06</w:t>
            </w:r>
          </w:p>
        </w:tc>
        <w:tc>
          <w:tcPr>
            <w:tcW w:w="2551" w:type="dxa"/>
            <w:vAlign w:val="center"/>
          </w:tcPr>
          <w:p>
            <w:pPr>
              <w:pStyle w:val="11"/>
            </w:pPr>
          </w:p>
        </w:tc>
        <w:tc>
          <w:tcPr>
            <w:tcW w:w="2551" w:type="dxa"/>
            <w:vAlign w:val="center"/>
          </w:tcPr>
          <w:p>
            <w:pPr>
              <w:pStyle w:val="11"/>
            </w:pPr>
            <w:r>
              <w:t>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32.62</w:t>
            </w:r>
          </w:p>
        </w:tc>
        <w:tc>
          <w:tcPr>
            <w:tcW w:w="2551" w:type="dxa"/>
            <w:vAlign w:val="center"/>
          </w:tcPr>
          <w:p>
            <w:pPr>
              <w:pStyle w:val="11"/>
            </w:pPr>
            <w:r>
              <w:t>32.62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18.36</w:t>
            </w:r>
          </w:p>
        </w:tc>
        <w:tc>
          <w:tcPr>
            <w:tcW w:w="2551" w:type="dxa"/>
            <w:vAlign w:val="center"/>
          </w:tcPr>
          <w:p>
            <w:pPr>
              <w:pStyle w:val="11"/>
            </w:pPr>
            <w:r>
              <w:t>18.36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14.26</w:t>
            </w:r>
          </w:p>
        </w:tc>
        <w:tc>
          <w:tcPr>
            <w:tcW w:w="2551" w:type="dxa"/>
            <w:vAlign w:val="center"/>
          </w:tcPr>
          <w:p>
            <w:pPr>
              <w:pStyle w:val="11"/>
            </w:pPr>
            <w:r>
              <w:t>14.26</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rPr>
                <w:rFonts w:hint="default" w:eastAsia="方正书宋_GBK"/>
                <w:lang w:val="en-US" w:eastAsia="zh-CN"/>
              </w:rPr>
            </w:pPr>
            <w:r>
              <w:rPr>
                <w:rFonts w:hint="eastAsia"/>
                <w:lang w:val="en-US" w:eastAsia="zh-CN"/>
              </w:rPr>
              <w:t>2.38</w:t>
            </w:r>
          </w:p>
        </w:tc>
        <w:tc>
          <w:tcPr>
            <w:tcW w:w="2381" w:type="dxa"/>
            <w:vAlign w:val="center"/>
          </w:tcPr>
          <w:p>
            <w:pPr>
              <w:pStyle w:val="15"/>
              <w:rPr>
                <w:rFonts w:hint="default" w:eastAsia="方正书宋_GBK"/>
                <w:lang w:val="en-US" w:eastAsia="zh-CN"/>
              </w:rPr>
            </w:pPr>
            <w:r>
              <w:rPr>
                <w:rFonts w:hint="eastAsia"/>
                <w:lang w:val="en-US" w:eastAsia="zh-CN"/>
              </w:rPr>
              <w:t>2.38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eastAsia="zh-CN"/>
              </w:rPr>
            </w:pPr>
            <w:r>
              <w:rPr>
                <w:rFonts w:hint="eastAsia"/>
                <w:lang w:val="en-US" w:eastAsia="zh-CN"/>
              </w:rP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3</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4</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5</w:t>
            </w:r>
          </w:p>
        </w:tc>
        <w:tc>
          <w:tcPr>
            <w:tcW w:w="3798" w:type="dxa"/>
            <w:vAlign w:val="center"/>
          </w:tcPr>
          <w:p>
            <w:pPr>
              <w:pStyle w:val="12"/>
            </w:pPr>
            <w:r>
              <w:t>二、公务用车购置及运维费</w:t>
            </w:r>
          </w:p>
        </w:tc>
        <w:tc>
          <w:tcPr>
            <w:tcW w:w="2382" w:type="dxa"/>
            <w:vAlign w:val="center"/>
          </w:tcPr>
          <w:p>
            <w:pPr>
              <w:pStyle w:val="11"/>
            </w:pPr>
            <w:r>
              <w:t>2.38</w:t>
            </w:r>
          </w:p>
        </w:tc>
        <w:tc>
          <w:tcPr>
            <w:tcW w:w="2381" w:type="dxa"/>
            <w:vAlign w:val="center"/>
          </w:tcPr>
          <w:p>
            <w:pPr>
              <w:pStyle w:val="11"/>
            </w:pPr>
            <w:r>
              <w:t>2.38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6</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7</w:t>
            </w:r>
          </w:p>
        </w:tc>
        <w:tc>
          <w:tcPr>
            <w:tcW w:w="3798" w:type="dxa"/>
            <w:vAlign w:val="center"/>
          </w:tcPr>
          <w:p>
            <w:pPr>
              <w:pStyle w:val="12"/>
            </w:pPr>
            <w:r>
              <w:t xml:space="preserve">          公务用车运行维护费</w:t>
            </w:r>
          </w:p>
        </w:tc>
        <w:tc>
          <w:tcPr>
            <w:tcW w:w="2382" w:type="dxa"/>
            <w:vAlign w:val="center"/>
          </w:tcPr>
          <w:p>
            <w:pPr>
              <w:pStyle w:val="11"/>
            </w:pPr>
            <w:r>
              <w:t>2.38</w:t>
            </w:r>
          </w:p>
        </w:tc>
        <w:tc>
          <w:tcPr>
            <w:tcW w:w="2381" w:type="dxa"/>
            <w:vAlign w:val="center"/>
          </w:tcPr>
          <w:p>
            <w:pPr>
              <w:pStyle w:val="11"/>
            </w:pPr>
            <w:r>
              <w:t>2.38</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eastAsia="方正书宋_GBK"/>
                <w:lang w:val="en-US" w:eastAsia="zh-CN"/>
              </w:rPr>
            </w:pPr>
            <w:r>
              <w:rPr>
                <w:rFonts w:hint="eastAsia"/>
                <w:lang w:val="en-US" w:eastAsia="zh-CN"/>
              </w:rPr>
              <w:t>8</w:t>
            </w:r>
          </w:p>
        </w:tc>
        <w:tc>
          <w:tcPr>
            <w:tcW w:w="3798" w:type="dxa"/>
            <w:vAlign w:val="center"/>
          </w:tcPr>
          <w:p>
            <w:pPr>
              <w:pStyle w:val="12"/>
            </w:pPr>
            <w:r>
              <w:t>三、公务接待费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第一部分  霸州市档案馆2022年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霸州市档案馆2022年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按照《预算法》、《地方预决算公开操作规程》和《关于进一步推进预算公开工作的实施意见》规定，现将霸州市档案馆2022年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7"/>
      </w:pPr>
      <w:r>
        <w:t>霸州市档案馆关于职能配置、内设机构和人员编制规定</w:t>
      </w:r>
    </w:p>
    <w:p>
      <w:pPr>
        <w:pStyle w:val="17"/>
      </w:pPr>
      <w:r>
        <w:t>第一条 根据《中共廊坊市委办公室、廊坊市人民政府办公室《关于印发&lt;霸州市机构改革方案&gt;的通知》(廊办字[2018]72号)，制定本规定。</w:t>
      </w:r>
    </w:p>
    <w:p>
      <w:pPr>
        <w:pStyle w:val="17"/>
      </w:pPr>
      <w:r>
        <w:t>第二条 霸州市档案馆(简称市档案馆)为市委直属事业单位，机构规格正科级。</w:t>
      </w:r>
    </w:p>
    <w:p>
      <w:pPr>
        <w:pStyle w:val="17"/>
      </w:pPr>
      <w:r>
        <w:t>第三条 市档案馆主要职责是：</w:t>
      </w:r>
    </w:p>
    <w:p>
      <w:pPr>
        <w:pStyle w:val="17"/>
      </w:pPr>
      <w:r>
        <w:t>（一）贯彻执行国家、河北省、廊坊市有关档案管理的法律、法规、规章。</w:t>
      </w:r>
    </w:p>
    <w:p>
      <w:pPr>
        <w:pStyle w:val="17"/>
      </w:pPr>
      <w:r>
        <w:t>（二）集中统一管理市直机关各历史时期的档案资料，保守党和国家机密，维护档案完整，确保档案资料安全。</w:t>
      </w:r>
    </w:p>
    <w:p>
      <w:pPr>
        <w:pStyle w:val="17"/>
      </w:pPr>
      <w:r>
        <w:t>（三）接收市委、市人大、市政府、市政协、市纪委监委及市直各机关、单位应进馆的档案资料。</w:t>
      </w:r>
    </w:p>
    <w:p>
      <w:pPr>
        <w:pStyle w:val="17"/>
      </w:pPr>
      <w:r>
        <w:t>（四）征集散存在社会上对国家和社会有保存价值的珍贵档案资料。</w:t>
      </w:r>
    </w:p>
    <w:p>
      <w:pPr>
        <w:pStyle w:val="17"/>
      </w:pPr>
      <w:r>
        <w:t>（五）负责馆藏档案资料的整理、编目、鉴定、统计和技术保护工作。</w:t>
      </w:r>
    </w:p>
    <w:p>
      <w:pPr>
        <w:pStyle w:val="17"/>
      </w:pPr>
      <w:r>
        <w:t>（六）依法开放档案，为党和政府及社会各方面提供利用服务。</w:t>
      </w:r>
    </w:p>
    <w:p>
      <w:pPr>
        <w:pStyle w:val="17"/>
      </w:pPr>
      <w:r>
        <w:t>（七）承担政府公开信息的收集、管理和集中查阅工作。</w:t>
      </w:r>
    </w:p>
    <w:p>
      <w:pPr>
        <w:pStyle w:val="17"/>
      </w:pPr>
      <w:r>
        <w:t>（八）开发档案信息资源，开展档案史料编研出版、展览陈列和社会教育活动。</w:t>
      </w:r>
    </w:p>
    <w:p>
      <w:pPr>
        <w:pStyle w:val="17"/>
      </w:pPr>
      <w:r>
        <w:t>（九）运用现代化技术手段，开展馆藏档案信息化建设。</w:t>
      </w:r>
    </w:p>
    <w:p>
      <w:pPr>
        <w:pStyle w:val="17"/>
      </w:pPr>
      <w:r>
        <w:t>（十）完成市委交办的其他任务。</w:t>
      </w:r>
    </w:p>
    <w:p>
      <w:pPr>
        <w:pStyle w:val="17"/>
      </w:pPr>
      <w:r>
        <w:t>第四条 市档案馆设下列内设机构：</w:t>
      </w:r>
    </w:p>
    <w:p>
      <w:pPr>
        <w:pStyle w:val="17"/>
      </w:pPr>
      <w:r>
        <w:t>（一）办公室。负责机关党群工作；负责机关纪检工作；负责内外联系及日常协调工作；负责编制市馆中长期发展规划和年度计划并组织实施；负责综合性文件起草工作；负责文秘、机要、保密、档案、督办、信访、宣传工作；负责市馆档案信息工作；负责国有资产的管理与维护；负责财务管理工作；负责机构编制、人事管理工作；负责政府采购和基建项目有关工作；负责离退休干部工作；负责后勤保障工作；负责市馆的安全保卫工作。</w:t>
      </w:r>
    </w:p>
    <w:p>
      <w:pPr>
        <w:pStyle w:val="17"/>
      </w:pPr>
      <w:r>
        <w:t>（二）征集编研股。负责制定档案接收范围和接收计划；负责进馆档案资料的接收；负责市级机关电子文件的接收；负责政府公开信息的接收；负责散存在社会上对国家和社会有保存价值的档案资料和本市重要会议、重大活动、重要事件档案资料的征集和整理。负责制定馆藏档案信息资源开发规划；负责馆藏档案史料的开发、编辑出版；负责档案展览、陈列工作；负责编写、续编本馆目标管理相应等级必备的编研材料。</w:t>
      </w:r>
    </w:p>
    <w:p>
      <w:pPr>
        <w:pStyle w:val="17"/>
      </w:pPr>
      <w:r>
        <w:t>（三）管理股。负责馆藏档案资料的保管、整理、编目、鉴定、统计工作；负责馆藏档案的开放、公布和涉密档案的密级变更、解密；负责馆藏国家重点档案资料目录中心建设；负责政府公开信息的管理和查阅利用；负责馆藏档案资料的管理、提供利用和咨询服务；负责档案库房的日常管理。负责制定馆藏档案信息化建设规划；负责馆藏档案数字化工作；负责电子档案管理工作；负责馆藏档案资料的技术保护；负责网络系统的建设、管理与维护。</w:t>
      </w:r>
    </w:p>
    <w:p>
      <w:pPr>
        <w:pStyle w:val="17"/>
      </w:pPr>
      <w:r>
        <w:t>第五条 市档案馆事业编制8名。正股级领导职数3名。</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霸州市档案馆本级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预算的编制实行综合预算管理，即全部收入和支出都反映在预算中。霸州市档案馆机关及所属事业单位的收支包含在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spacing w:line="500" w:lineRule="exact"/>
        <w:ind w:firstLine="560"/>
        <w:rPr>
          <w:rFonts w:hint="eastAsia" w:eastAsia="方正仿宋_GBK"/>
          <w:color w:val="000000"/>
          <w:sz w:val="28"/>
        </w:rPr>
      </w:pPr>
      <w:r>
        <w:rPr>
          <w:rFonts w:hint="eastAsia" w:eastAsia="方正仿宋_GBK"/>
          <w:color w:val="000000"/>
          <w:sz w:val="28"/>
        </w:rPr>
        <w:t xml:space="preserve"> 1、收入说明</w:t>
      </w:r>
    </w:p>
    <w:p>
      <w:pPr>
        <w:spacing w:line="50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当年全部收入。2022年预算收入</w:t>
      </w:r>
      <w:r>
        <w:rPr>
          <w:rFonts w:hint="eastAsia" w:eastAsia="方正仿宋_GBK"/>
          <w:color w:val="000000"/>
          <w:sz w:val="28"/>
          <w:lang w:val="en-US" w:eastAsia="zh-CN"/>
        </w:rPr>
        <w:t>222.89</w:t>
      </w:r>
      <w:r>
        <w:rPr>
          <w:rFonts w:hint="eastAsia" w:eastAsia="方正仿宋_GBK"/>
          <w:color w:val="000000"/>
          <w:sz w:val="28"/>
        </w:rPr>
        <w:t>万元，其中：一般公共预算收入</w:t>
      </w:r>
      <w:r>
        <w:rPr>
          <w:rFonts w:hint="eastAsia" w:eastAsia="方正仿宋_GBK"/>
          <w:color w:val="000000"/>
          <w:sz w:val="28"/>
          <w:lang w:val="en-US" w:eastAsia="zh-CN"/>
        </w:rPr>
        <w:t>222.89</w:t>
      </w:r>
      <w:r>
        <w:rPr>
          <w:rFonts w:hint="eastAsia" w:eastAsia="方正仿宋_GBK"/>
          <w:color w:val="000000"/>
          <w:sz w:val="28"/>
        </w:rPr>
        <w:t>万元，政府性基金预算收入</w:t>
      </w:r>
      <w:r>
        <w:rPr>
          <w:rFonts w:hint="eastAsia" w:eastAsia="方正仿宋_GBK"/>
          <w:color w:val="000000"/>
          <w:sz w:val="28"/>
          <w:lang w:val="en-US" w:eastAsia="zh-CN"/>
        </w:rPr>
        <w:t>0</w:t>
      </w:r>
      <w:r>
        <w:rPr>
          <w:rFonts w:hint="eastAsia" w:eastAsia="方正仿宋_GBK"/>
          <w:color w:val="000000"/>
          <w:sz w:val="28"/>
        </w:rPr>
        <w:t>万元，国有资本经营预算收入</w:t>
      </w:r>
      <w:r>
        <w:rPr>
          <w:rFonts w:hint="eastAsia" w:eastAsia="方正仿宋_GBK"/>
          <w:color w:val="000000"/>
          <w:sz w:val="28"/>
          <w:lang w:val="en-US" w:eastAsia="zh-CN"/>
        </w:rPr>
        <w:t>0</w:t>
      </w:r>
      <w:r>
        <w:rPr>
          <w:rFonts w:hint="eastAsia" w:eastAsia="方正仿宋_GBK"/>
          <w:color w:val="000000"/>
          <w:sz w:val="28"/>
        </w:rPr>
        <w:t>万元，财政专户管理资金收入</w:t>
      </w:r>
      <w:r>
        <w:rPr>
          <w:rFonts w:hint="eastAsia" w:eastAsia="方正仿宋_GBK"/>
          <w:color w:val="000000"/>
          <w:sz w:val="28"/>
          <w:lang w:val="en-US" w:eastAsia="zh-CN"/>
        </w:rPr>
        <w:t>0</w:t>
      </w:r>
      <w:r>
        <w:rPr>
          <w:rFonts w:hint="eastAsia" w:eastAsia="方正仿宋_GBK"/>
          <w:color w:val="000000"/>
          <w:sz w:val="28"/>
        </w:rPr>
        <w:t>万元，上级补助收入</w:t>
      </w:r>
      <w:r>
        <w:rPr>
          <w:rFonts w:hint="eastAsia" w:eastAsia="方正仿宋_GBK"/>
          <w:color w:val="000000"/>
          <w:sz w:val="28"/>
          <w:lang w:val="en-US" w:eastAsia="zh-CN"/>
        </w:rPr>
        <w:t>0</w:t>
      </w:r>
      <w:r>
        <w:rPr>
          <w:rFonts w:hint="eastAsia" w:eastAsia="方正仿宋_GBK"/>
          <w:color w:val="000000"/>
          <w:sz w:val="28"/>
        </w:rPr>
        <w:t>万元，事业收入</w:t>
      </w:r>
      <w:r>
        <w:rPr>
          <w:rFonts w:hint="eastAsia" w:eastAsia="方正仿宋_GBK"/>
          <w:color w:val="000000"/>
          <w:sz w:val="28"/>
          <w:lang w:val="en-US" w:eastAsia="zh-CN"/>
        </w:rPr>
        <w:t>0</w:t>
      </w:r>
      <w:r>
        <w:rPr>
          <w:rFonts w:hint="eastAsia" w:eastAsia="方正仿宋_GBK"/>
          <w:color w:val="000000"/>
          <w:sz w:val="28"/>
        </w:rPr>
        <w:t>万元，经营收入</w:t>
      </w:r>
      <w:r>
        <w:rPr>
          <w:rFonts w:hint="eastAsia" w:eastAsia="方正仿宋_GBK"/>
          <w:color w:val="000000"/>
          <w:sz w:val="28"/>
          <w:lang w:val="en-US" w:eastAsia="zh-CN"/>
        </w:rPr>
        <w:t>0</w:t>
      </w:r>
      <w:r>
        <w:rPr>
          <w:rFonts w:hint="eastAsia" w:eastAsia="方正仿宋_GBK"/>
          <w:color w:val="000000"/>
          <w:sz w:val="28"/>
        </w:rPr>
        <w:t>万元，附属单位上缴收入</w:t>
      </w:r>
      <w:r>
        <w:rPr>
          <w:rFonts w:hint="eastAsia" w:eastAsia="方正仿宋_GBK"/>
          <w:color w:val="000000"/>
          <w:sz w:val="28"/>
          <w:lang w:val="en-US" w:eastAsia="zh-CN"/>
        </w:rPr>
        <w:t>0</w:t>
      </w:r>
      <w:r>
        <w:rPr>
          <w:rFonts w:hint="eastAsia" w:eastAsia="方正仿宋_GBK"/>
          <w:color w:val="000000"/>
          <w:sz w:val="28"/>
        </w:rPr>
        <w:t>万元，其他收入</w:t>
      </w:r>
      <w:r>
        <w:rPr>
          <w:rFonts w:hint="eastAsia" w:eastAsia="方正仿宋_GBK"/>
          <w:color w:val="000000"/>
          <w:sz w:val="28"/>
          <w:lang w:val="en-US" w:eastAsia="zh-CN"/>
        </w:rPr>
        <w:t>0</w:t>
      </w:r>
      <w:r>
        <w:rPr>
          <w:rFonts w:hint="eastAsia" w:eastAsia="方正仿宋_GBK"/>
          <w:color w:val="000000"/>
          <w:sz w:val="28"/>
        </w:rPr>
        <w:t>万元，上年结转</w:t>
      </w:r>
      <w:r>
        <w:rPr>
          <w:rFonts w:hint="eastAsia" w:eastAsia="方正仿宋_GBK"/>
          <w:color w:val="000000"/>
          <w:sz w:val="28"/>
          <w:lang w:val="en-US" w:eastAsia="zh-CN"/>
        </w:rPr>
        <w:t>0</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lang w:val="en-US" w:eastAsia="zh-CN"/>
        </w:rPr>
      </w:pPr>
      <w:r>
        <w:rPr>
          <w:rFonts w:hint="eastAsia" w:eastAsia="方正仿宋_GBK"/>
          <w:color w:val="000000"/>
          <w:sz w:val="28"/>
        </w:rPr>
        <w:t>收支预算总表支出栏、基本支出表、项目支出表按经济分类和支出功能分类科目编制，反映霸州市</w:t>
      </w:r>
      <w:r>
        <w:rPr>
          <w:rFonts w:hint="eastAsia" w:eastAsia="方正仿宋_GBK"/>
          <w:color w:val="000000"/>
          <w:sz w:val="28"/>
          <w:lang w:val="en-US" w:eastAsia="zh-CN"/>
        </w:rPr>
        <w:t>档案馆</w:t>
      </w:r>
      <w:r>
        <w:rPr>
          <w:rFonts w:hint="eastAsia" w:eastAsia="方正仿宋_GBK"/>
          <w:color w:val="000000"/>
          <w:sz w:val="28"/>
        </w:rPr>
        <w:t>2022年度</w:t>
      </w:r>
      <w:r>
        <w:rPr>
          <w:rFonts w:hint="eastAsia" w:eastAsia="方正仿宋_GBK"/>
          <w:color w:val="000000"/>
          <w:sz w:val="28"/>
          <w:lang w:eastAsia="zh-CN"/>
        </w:rPr>
        <w:t>单位</w:t>
      </w:r>
      <w:r>
        <w:rPr>
          <w:rFonts w:hint="eastAsia" w:eastAsia="方正仿宋_GBK"/>
          <w:color w:val="000000"/>
          <w:sz w:val="28"/>
        </w:rPr>
        <w:t>预算中支出预算的总体情况。2022年支出预算</w:t>
      </w:r>
      <w:r>
        <w:rPr>
          <w:rFonts w:hint="eastAsia" w:eastAsia="方正仿宋_GBK"/>
          <w:color w:val="000000"/>
          <w:sz w:val="28"/>
          <w:lang w:val="en-US" w:eastAsia="zh-CN"/>
        </w:rPr>
        <w:t>222.89</w:t>
      </w:r>
      <w:r>
        <w:rPr>
          <w:rFonts w:hint="eastAsia" w:eastAsia="方正仿宋_GBK"/>
          <w:color w:val="000000"/>
          <w:sz w:val="28"/>
        </w:rPr>
        <w:t>万元，其中：基本支出</w:t>
      </w:r>
      <w:r>
        <w:rPr>
          <w:rFonts w:hint="eastAsia" w:eastAsia="方正仿宋_GBK"/>
          <w:color w:val="000000"/>
          <w:sz w:val="28"/>
          <w:lang w:val="en-US" w:eastAsia="zh-CN"/>
        </w:rPr>
        <w:t>222.89</w:t>
      </w:r>
      <w:r>
        <w:rPr>
          <w:rFonts w:hint="eastAsia" w:eastAsia="方正仿宋_GBK"/>
          <w:color w:val="000000"/>
          <w:sz w:val="28"/>
        </w:rPr>
        <w:t>万元，包括：人员经费</w:t>
      </w:r>
      <w:r>
        <w:rPr>
          <w:rFonts w:hint="eastAsia" w:eastAsia="方正仿宋_GBK"/>
          <w:color w:val="000000"/>
          <w:sz w:val="28"/>
          <w:lang w:val="en-US" w:eastAsia="zh-CN"/>
        </w:rPr>
        <w:t>188.88</w:t>
      </w:r>
      <w:r>
        <w:rPr>
          <w:rFonts w:hint="eastAsia" w:eastAsia="方正仿宋_GBK"/>
          <w:color w:val="000000"/>
          <w:sz w:val="28"/>
        </w:rPr>
        <w:t>万元和日常公用经费</w:t>
      </w:r>
      <w:r>
        <w:rPr>
          <w:rFonts w:hint="eastAsia" w:eastAsia="方正仿宋_GBK"/>
          <w:color w:val="000000"/>
          <w:sz w:val="28"/>
          <w:lang w:val="en-US" w:eastAsia="zh-CN"/>
        </w:rPr>
        <w:t>34.01</w:t>
      </w:r>
      <w:r>
        <w:rPr>
          <w:rFonts w:hint="eastAsia" w:eastAsia="方正仿宋_GBK"/>
          <w:color w:val="000000"/>
          <w:sz w:val="28"/>
        </w:rPr>
        <w:t>万元；项目支出</w:t>
      </w:r>
      <w:r>
        <w:rPr>
          <w:rFonts w:hint="eastAsia" w:eastAsia="方正仿宋_GBK"/>
          <w:color w:val="000000"/>
          <w:sz w:val="28"/>
          <w:lang w:val="en-US" w:eastAsia="zh-CN"/>
        </w:rPr>
        <w:t>0</w:t>
      </w:r>
      <w:r>
        <w:rPr>
          <w:rFonts w:hint="eastAsia" w:eastAsia="方正仿宋_GBK"/>
          <w:color w:val="000000"/>
          <w:sz w:val="28"/>
        </w:rPr>
        <w:t>万元，主要为</w:t>
      </w:r>
      <w:r>
        <w:rPr>
          <w:rFonts w:hint="eastAsia" w:eastAsia="方正仿宋_GBK"/>
          <w:color w:val="000000"/>
          <w:sz w:val="28"/>
          <w:lang w:val="en-US" w:eastAsia="zh-CN"/>
        </w:rPr>
        <w:t>我单位本年度无项目。</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rPr>
      </w:pPr>
      <w:r>
        <w:rPr>
          <w:rFonts w:hint="eastAsia" w:eastAsia="方正仿宋_GBK"/>
          <w:color w:val="000000"/>
          <w:sz w:val="28"/>
        </w:rPr>
        <w:t>2022年预算收支安排</w:t>
      </w:r>
      <w:r>
        <w:rPr>
          <w:rFonts w:hint="eastAsia" w:eastAsia="方正仿宋_GBK"/>
          <w:color w:val="000000"/>
          <w:sz w:val="28"/>
          <w:lang w:val="en-US" w:eastAsia="zh-CN"/>
        </w:rPr>
        <w:t>222.89</w:t>
      </w:r>
      <w:r>
        <w:rPr>
          <w:rFonts w:hint="eastAsia" w:eastAsia="方正仿宋_GBK"/>
          <w:color w:val="000000"/>
          <w:sz w:val="28"/>
        </w:rPr>
        <w:t>万元，较2021预算减少</w:t>
      </w:r>
      <w:r>
        <w:rPr>
          <w:rFonts w:hint="eastAsia" w:eastAsia="方正仿宋_GBK"/>
          <w:color w:val="000000"/>
          <w:sz w:val="28"/>
          <w:lang w:val="en-US" w:eastAsia="zh-CN"/>
        </w:rPr>
        <w:t>11.36</w:t>
      </w:r>
      <w:r>
        <w:rPr>
          <w:rFonts w:hint="eastAsia" w:eastAsia="方正仿宋_GBK"/>
          <w:color w:val="000000"/>
          <w:sz w:val="28"/>
        </w:rPr>
        <w:t>万元，其中：基本支出减少</w:t>
      </w:r>
      <w:r>
        <w:rPr>
          <w:rFonts w:hint="eastAsia" w:eastAsia="方正仿宋_GBK"/>
          <w:color w:val="000000"/>
          <w:sz w:val="28"/>
          <w:lang w:val="en-US" w:eastAsia="zh-CN"/>
        </w:rPr>
        <w:t>11.36</w:t>
      </w:r>
      <w:r>
        <w:rPr>
          <w:rFonts w:hint="eastAsia" w:eastAsia="方正仿宋_GBK"/>
          <w:color w:val="000000"/>
          <w:sz w:val="28"/>
        </w:rPr>
        <w:t>万元，主要为减少</w:t>
      </w:r>
      <w:r>
        <w:rPr>
          <w:rFonts w:hint="eastAsia" w:eastAsia="方正仿宋_GBK"/>
          <w:color w:val="000000"/>
          <w:sz w:val="28"/>
          <w:lang w:val="en-US" w:eastAsia="zh-CN"/>
        </w:rPr>
        <w:t>人员经费和日常公用经费的</w:t>
      </w:r>
      <w:r>
        <w:rPr>
          <w:rFonts w:hint="eastAsia" w:eastAsia="方正仿宋_GBK"/>
          <w:color w:val="000000"/>
          <w:sz w:val="28"/>
        </w:rPr>
        <w:t>支出；项目支出</w:t>
      </w:r>
      <w:r>
        <w:rPr>
          <w:rFonts w:hint="eastAsia" w:eastAsia="方正仿宋_GBK"/>
          <w:color w:val="000000"/>
          <w:sz w:val="28"/>
          <w:lang w:val="en-US" w:eastAsia="zh-CN"/>
        </w:rPr>
        <w:t>较2021年无变化</w:t>
      </w:r>
      <w:r>
        <w:rPr>
          <w:rFonts w:hint="eastAsia" w:eastAsia="方正仿宋_GBK"/>
          <w:color w:val="000000"/>
          <w:sz w:val="28"/>
        </w:rPr>
        <w:t>。</w:t>
      </w:r>
    </w:p>
    <w:p>
      <w:pPr>
        <w:spacing w:line="500" w:lineRule="exact"/>
        <w:ind w:firstLine="560"/>
        <w:rPr>
          <w:rFonts w:hint="eastAsia" w:eastAsia="方正仿宋_GBK"/>
          <w:color w:val="000000"/>
          <w:sz w:val="28"/>
        </w:rPr>
      </w:pPr>
    </w:p>
    <w:p>
      <w:pPr>
        <w:pStyle w:val="18"/>
        <w:rPr>
          <w:rFonts w:hint="eastAsia" w:asciiTheme="minorEastAsia" w:hAnsiTheme="minorEastAsia" w:eastAsiaTheme="minorEastAsia" w:cstheme="minorEastAsia"/>
          <w:sz w:val="28"/>
          <w:szCs w:val="28"/>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运行经费共计安排</w:t>
      </w:r>
      <w:r>
        <w:rPr>
          <w:rFonts w:hint="eastAsia" w:eastAsia="方正仿宋_GBK"/>
          <w:color w:val="000000"/>
          <w:sz w:val="28"/>
          <w:lang w:eastAsia="zh-CN"/>
        </w:rPr>
        <w:t>34.01</w:t>
      </w:r>
      <w:r>
        <w:rPr>
          <w:rFonts w:hint="eastAsia" w:eastAsia="方正仿宋_GBK"/>
          <w:color w:val="000000"/>
          <w:sz w:val="28"/>
        </w:rPr>
        <w:t>万元，主要用于办公区的日常维修、办公用房水电费、办公用房取暖费、办公及印刷费，邮电费、差旅费、福利费</w:t>
      </w:r>
      <w:r>
        <w:rPr>
          <w:rFonts w:hint="eastAsia" w:eastAsia="方正仿宋_GBK"/>
          <w:color w:val="000000"/>
          <w:sz w:val="28"/>
          <w:lang w:eastAsia="zh-CN"/>
        </w:rPr>
        <w:t>、</w:t>
      </w:r>
      <w:r>
        <w:rPr>
          <w:rFonts w:hint="eastAsia" w:eastAsia="方正仿宋_GBK"/>
          <w:color w:val="000000"/>
          <w:sz w:val="28"/>
          <w:lang w:val="en-US" w:eastAsia="zh-CN"/>
        </w:rPr>
        <w:t>工会费</w:t>
      </w:r>
      <w:r>
        <w:rPr>
          <w:rFonts w:hint="eastAsia" w:eastAsia="方正仿宋_GBK"/>
          <w:color w:val="000000"/>
          <w:sz w:val="28"/>
        </w:rPr>
        <w:t>及办公用房物业管理费等日常运行支出。</w:t>
      </w:r>
    </w:p>
    <w:p>
      <w:pPr>
        <w:pStyle w:val="19"/>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“三公”经费预算安排</w:t>
      </w:r>
      <w:r>
        <w:rPr>
          <w:rFonts w:hint="eastAsia" w:eastAsia="方正仿宋_GBK"/>
          <w:color w:val="000000"/>
          <w:sz w:val="28"/>
          <w:lang w:val="en-US" w:eastAsia="zh-CN"/>
        </w:rPr>
        <w:t>2.38</w:t>
      </w:r>
      <w:r>
        <w:rPr>
          <w:rFonts w:hint="eastAsia" w:eastAsia="方正仿宋_GBK"/>
          <w:color w:val="000000"/>
          <w:sz w:val="28"/>
        </w:rPr>
        <w:t>万元，其中：因公出国（境）费0万元；公务用车购置及运维费2.</w:t>
      </w:r>
      <w:r>
        <w:rPr>
          <w:rFonts w:hint="eastAsia" w:eastAsia="方正仿宋_GBK"/>
          <w:color w:val="000000"/>
          <w:sz w:val="28"/>
          <w:lang w:eastAsia="zh-CN"/>
        </w:rPr>
        <w:t>38</w:t>
      </w:r>
      <w:r>
        <w:rPr>
          <w:rFonts w:hint="eastAsia" w:eastAsia="方正仿宋_GBK"/>
          <w:color w:val="000000"/>
          <w:sz w:val="28"/>
        </w:rPr>
        <w:t>万元（其中：公务用车购置费0万元，公务用车运行维护费2.</w:t>
      </w:r>
      <w:r>
        <w:rPr>
          <w:rFonts w:hint="eastAsia" w:eastAsia="方正仿宋_GBK"/>
          <w:color w:val="000000"/>
          <w:sz w:val="28"/>
          <w:lang w:eastAsia="zh-CN"/>
        </w:rPr>
        <w:t>38</w:t>
      </w:r>
      <w:r>
        <w:rPr>
          <w:rFonts w:hint="eastAsia" w:eastAsia="方正仿宋_GBK"/>
          <w:color w:val="000000"/>
          <w:sz w:val="28"/>
        </w:rPr>
        <w:t>万元)；公务接待费0万元</w:t>
      </w:r>
      <w:r>
        <w:rPr>
          <w:rFonts w:hint="eastAsia" w:eastAsia="方正仿宋_GBK"/>
          <w:color w:val="000000"/>
          <w:sz w:val="28"/>
          <w:lang w:eastAsia="zh-CN"/>
        </w:rPr>
        <w:t>；</w:t>
      </w:r>
      <w:r>
        <w:rPr>
          <w:rFonts w:hint="eastAsia" w:eastAsia="方正仿宋_GBK"/>
          <w:color w:val="000000"/>
          <w:sz w:val="28"/>
          <w:lang w:val="en-US" w:eastAsia="zh-CN"/>
        </w:rPr>
        <w:t>因公出国（境）费</w:t>
      </w:r>
      <w:r>
        <w:rPr>
          <w:rFonts w:hint="eastAsia" w:eastAsia="方正仿宋_GBK"/>
          <w:color w:val="000000"/>
          <w:sz w:val="28"/>
        </w:rPr>
        <w:t>较202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val="en-US" w:eastAsia="zh-CN"/>
        </w:rPr>
        <w:t>持平，无增减变化</w:t>
      </w:r>
      <w:r>
        <w:rPr>
          <w:rFonts w:hint="eastAsia" w:eastAsia="方正仿宋_GBK"/>
          <w:color w:val="000000"/>
          <w:sz w:val="28"/>
        </w:rPr>
        <w:t>；公务用车购置费与202</w:t>
      </w:r>
      <w:r>
        <w:rPr>
          <w:rFonts w:hint="eastAsia" w:eastAsia="方正仿宋_GBK"/>
          <w:color w:val="000000"/>
          <w:sz w:val="28"/>
          <w:lang w:eastAsia="zh-CN"/>
        </w:rPr>
        <w:t>1</w:t>
      </w:r>
      <w:r>
        <w:rPr>
          <w:rFonts w:hint="eastAsia" w:eastAsia="方正仿宋_GBK"/>
          <w:color w:val="000000"/>
          <w:sz w:val="28"/>
        </w:rPr>
        <w:t>年持平，无增减变化；公务用车运行维护费较202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减少</w:t>
      </w:r>
      <w:r>
        <w:rPr>
          <w:rFonts w:hint="eastAsia" w:eastAsia="方正仿宋_GBK"/>
          <w:color w:val="000000"/>
          <w:sz w:val="28"/>
        </w:rPr>
        <w:t>了</w:t>
      </w:r>
      <w:r>
        <w:rPr>
          <w:rFonts w:hint="eastAsia" w:eastAsia="方正仿宋_GBK"/>
          <w:color w:val="000000"/>
          <w:sz w:val="28"/>
          <w:lang w:eastAsia="zh-CN"/>
        </w:rPr>
        <w:t>0.12</w:t>
      </w:r>
      <w:r>
        <w:rPr>
          <w:rFonts w:hint="eastAsia" w:eastAsia="方正仿宋_GBK"/>
          <w:color w:val="000000"/>
          <w:sz w:val="28"/>
        </w:rPr>
        <w:t>万元，</w:t>
      </w:r>
      <w:r>
        <w:rPr>
          <w:rFonts w:hint="eastAsia" w:eastAsia="方正仿宋_GBK"/>
          <w:color w:val="000000"/>
          <w:sz w:val="28"/>
          <w:lang w:eastAsia="zh-CN"/>
        </w:rPr>
        <w:t>减少</w:t>
      </w:r>
      <w:r>
        <w:rPr>
          <w:rFonts w:hint="eastAsia" w:eastAsia="方正仿宋_GBK"/>
          <w:color w:val="000000"/>
          <w:sz w:val="28"/>
        </w:rPr>
        <w:t>原因为</w:t>
      </w:r>
      <w:r>
        <w:rPr>
          <w:rFonts w:hint="eastAsia" w:eastAsia="方正仿宋_GBK"/>
          <w:color w:val="000000"/>
          <w:sz w:val="28"/>
          <w:lang w:eastAsia="zh-CN"/>
        </w:rPr>
        <w:t>财政单位对三公经费的调减</w:t>
      </w:r>
      <w:r>
        <w:rPr>
          <w:rFonts w:hint="eastAsia" w:eastAsia="方正仿宋_GBK"/>
          <w:color w:val="000000"/>
          <w:sz w:val="28"/>
        </w:rPr>
        <w:t>；公务接待费减少0.</w:t>
      </w:r>
      <w:r>
        <w:rPr>
          <w:rFonts w:hint="eastAsia" w:eastAsia="方正仿宋_GBK"/>
          <w:color w:val="000000"/>
          <w:sz w:val="28"/>
          <w:lang w:eastAsia="zh-CN"/>
        </w:rPr>
        <w:t>1</w:t>
      </w:r>
      <w:r>
        <w:rPr>
          <w:rFonts w:hint="eastAsia" w:eastAsia="方正仿宋_GBK"/>
          <w:color w:val="000000"/>
          <w:sz w:val="28"/>
        </w:rPr>
        <w:t>万元，减少原因为压减开支。</w:t>
      </w:r>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1"/>
      </w:pPr>
      <w:r>
        <w:t>深入贯彻落实党的十九大和习近平新时代中国特色社会主义精神，以习近平总书记系列重要讲话精神为指导，坚定不移地把“为党管档、为国守史、为民服务”的职责落实到每一项具体的档案工作任务中，增强档案意识，实现档案文化价值，把档案馆库建设作为当前工作的重中之重，积极推进。强化国家档案资源建设，加快档案信息化建设，把建设数字档案馆（室）作为档案事业发展的重要任务，列入信息化建设整体规划。扎实做好档案安全与修复管理工作。对馆藏年代久远和国家重点档案采取裱糊、加固等方式进行修复整理，满足长期利用效果。</w:t>
      </w:r>
    </w:p>
    <w:p>
      <w:pPr>
        <w:spacing w:line="500" w:lineRule="exact"/>
        <w:ind w:firstLine="560"/>
      </w:pPr>
      <w:r>
        <w:rPr>
          <w:rFonts w:eastAsia="方正仿宋_GBK"/>
          <w:color w:val="000000"/>
          <w:sz w:val="28"/>
        </w:rPr>
        <w:t>（二）分项绩效目标</w:t>
      </w:r>
    </w:p>
    <w:p>
      <w:pPr>
        <w:pStyle w:val="22"/>
      </w:pPr>
      <w:r>
        <w:t>分项绩效目标</w:t>
      </w:r>
    </w:p>
    <w:p>
      <w:pPr>
        <w:pStyle w:val="22"/>
      </w:pPr>
      <w:r>
        <w:t>（一）档案资料保管工作</w:t>
      </w:r>
    </w:p>
    <w:p>
      <w:pPr>
        <w:pStyle w:val="22"/>
      </w:pPr>
      <w:r>
        <w:t>绩效目标：及时接收保管档案，确保正常办公。</w:t>
      </w:r>
    </w:p>
    <w:p>
      <w:pPr>
        <w:pStyle w:val="22"/>
      </w:pPr>
      <w:r>
        <w:t xml:space="preserve">绩效指标：办公业务用房建筑面积为600平方米，办公楼用于接收及保管档案的完整程度为100%，年度档案的接收率达到90%以上。  </w:t>
      </w:r>
    </w:p>
    <w:p>
      <w:pPr>
        <w:pStyle w:val="22"/>
      </w:pPr>
      <w:r>
        <w:t>（二）档案资料数字化工作</w:t>
      </w:r>
    </w:p>
    <w:p>
      <w:pPr>
        <w:pStyle w:val="22"/>
      </w:pPr>
      <w:r>
        <w:t>绩效目标：完成档案数字化扫描，生成电子目录。</w:t>
      </w:r>
    </w:p>
    <w:p>
      <w:pPr>
        <w:pStyle w:val="22"/>
      </w:pPr>
      <w:r>
        <w:t>绩效指标：完成数字化扫描页数12万页，完成数字化扫描电子目录1万条，数字化扫描完成合格率为100%，数字化扫描完成及时率为100%。</w:t>
      </w:r>
    </w:p>
    <w:p>
      <w:pPr>
        <w:pStyle w:val="22"/>
      </w:pPr>
      <w:r>
        <w:t>（三）档案资料保护工作</w:t>
      </w:r>
    </w:p>
    <w:p>
      <w:pPr>
        <w:pStyle w:val="22"/>
      </w:pPr>
      <w:r>
        <w:t>绩效目标：防范档案安全事故，提高档案服务民生水平</w:t>
      </w:r>
    </w:p>
    <w:p>
      <w:pPr>
        <w:pStyle w:val="22"/>
      </w:pPr>
      <w:r>
        <w:t>绩效指标：物业提供服务对档案馆运行保障的程度为100%，物业及时提供服务的比率为100%</w:t>
      </w:r>
    </w:p>
    <w:p>
      <w:pPr>
        <w:spacing w:line="500" w:lineRule="exact"/>
        <w:ind w:firstLine="560"/>
      </w:pPr>
      <w:r>
        <w:rPr>
          <w:rFonts w:eastAsia="方正仿宋_GBK"/>
          <w:color w:val="000000"/>
          <w:sz w:val="28"/>
        </w:rPr>
        <w:t>（三）工作保障措施</w:t>
      </w:r>
    </w:p>
    <w:p>
      <w:pPr>
        <w:pStyle w:val="23"/>
      </w:pPr>
      <w:r>
        <w:t>工作保障措施：</w:t>
      </w:r>
    </w:p>
    <w:p>
      <w:pPr>
        <w:pStyle w:val="23"/>
      </w:pPr>
      <w:r>
        <w:t>（一）完善制度建设。制定完善预算绩效管理制度、资金管理办法、工作保障制度等，为全年预算绩效目标的实现奠定制度基础。</w:t>
      </w:r>
    </w:p>
    <w:p>
      <w:pPr>
        <w:pStyle w:val="23"/>
      </w:pPr>
      <w:r>
        <w:t>（二）加强支出管理。通过优化支出结构、编细编实预算、及时支付资金、确保支出进度达标。</w:t>
      </w:r>
    </w:p>
    <w:p>
      <w:pPr>
        <w:pStyle w:val="23"/>
      </w:pPr>
      <w:r>
        <w:t>（三）加强绩效运行监控。按要求开展绩效运行监控，发现问题及时采取措施，确保绩效目标如期保质实现。</w:t>
      </w:r>
    </w:p>
    <w:p>
      <w:pPr>
        <w:pStyle w:val="23"/>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3"/>
      </w:pPr>
      <w:r>
        <w:t>（五）规范财务资产管理。完善财务管理制度，严格审批程序，加强固定资产登记、使用和报废处置管理，做到支出合理，物尽其用。</w:t>
      </w:r>
    </w:p>
    <w:p>
      <w:pPr>
        <w:pStyle w:val="23"/>
      </w:pPr>
      <w: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3"/>
      </w:pPr>
      <w:r>
        <w:t>（七）加强宣传培训调研等。加强人员培训，提高本</w:t>
      </w:r>
      <w:r>
        <w:rPr>
          <w:rFonts w:hint="eastAsia"/>
          <w:lang w:eastAsia="zh-CN"/>
        </w:rPr>
        <w:t>单位</w:t>
      </w:r>
      <w:r>
        <w:t>职工业务素质；加强调研，提出优化财政资金配置、提高资金使用效益的意见；加大宣传力度，强化预算绩效管理意识，促进预算绩效管理水平进一步提升。</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Times New Roman" w:hAnsi="Times New Roman" w:eastAsia="方正仿宋_GBK" w:cs="Times New Roman"/>
          <w:sz w:val="28"/>
          <w:szCs w:val="24"/>
          <w:lang w:val="en-US" w:eastAsia="zh-CN" w:bidi="ar-SA"/>
        </w:rPr>
        <w:sectPr>
          <w:pgSz w:w="16840" w:h="11900" w:orient="landscape"/>
          <w:pgMar w:top="1361" w:right="1020" w:bottom="1134" w:left="1020" w:header="720" w:footer="720" w:gutter="0"/>
          <w:pgNumType w:fmt="decimal"/>
          <w:cols w:space="720" w:num="1"/>
        </w:sectPr>
      </w:pPr>
      <w:r>
        <w:rPr>
          <w:rFonts w:hint="eastAsia" w:ascii="Times New Roman" w:hAnsi="Times New Roman" w:eastAsia="方正仿宋_GBK" w:cs="Times New Roman"/>
          <w:sz w:val="28"/>
          <w:szCs w:val="24"/>
          <w:lang w:val="en-US" w:eastAsia="zh-CN" w:bidi="ar-SA"/>
        </w:rPr>
        <w:t>我单位无项目。</w:t>
      </w: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2022年，霸州市档案馆安排政府采购预算0.00万元。具体内容见下表。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霸州市档案馆（含所属单位）上年末固定资产金额为</w:t>
      </w:r>
      <w:r>
        <w:rPr>
          <w:rFonts w:hint="eastAsia" w:eastAsiaTheme="minorEastAsia"/>
          <w:color w:val="000000"/>
          <w:sz w:val="28"/>
          <w:lang w:eastAsia="zh-CN"/>
        </w:rPr>
        <w:t>10.113849</w:t>
      </w:r>
      <w:r>
        <w:rPr>
          <w:rFonts w:eastAsia="方正仿宋_GBK"/>
          <w:color w:val="000000"/>
          <w:sz w:val="28"/>
        </w:rPr>
        <w:t>万元（详见下表）。本年度拟购置固定资产总额为0.00万元，已按要求列入政府采购预算，详见政府采购预算表。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505</w:t>
            </w:r>
            <w:r>
              <w:rPr>
                <w:rFonts w:hint="eastAsia"/>
                <w:lang w:val="en-US" w:eastAsia="zh-CN"/>
              </w:rPr>
              <w:t>001</w:t>
            </w:r>
            <w:r>
              <w:t>霸州市档案馆</w:t>
            </w:r>
            <w:r>
              <w:rPr>
                <w:rFonts w:hint="eastAsia"/>
                <w:lang w:val="en-US" w:eastAsia="zh-CN"/>
              </w:rPr>
              <w:t>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7370" w:type="dxa"/>
            <w:vAlign w:val="center"/>
          </w:tcPr>
          <w:p>
            <w:pPr>
              <w:pStyle w:val="12"/>
              <w:rPr>
                <w:rFonts w:hint="default"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合计</w:t>
            </w:r>
          </w:p>
        </w:tc>
        <w:tc>
          <w:tcPr>
            <w:tcW w:w="2835" w:type="dxa"/>
            <w:vAlign w:val="center"/>
          </w:tcPr>
          <w:p>
            <w:pPr>
              <w:pStyle w:val="13"/>
              <w:rPr>
                <w:rFonts w:hint="default" w:eastAsiaTheme="minorEastAsia"/>
                <w:lang w:val="en-US" w:eastAsia="zh-CN"/>
              </w:rPr>
            </w:pPr>
            <w:r>
              <w:rPr>
                <w:rFonts w:hint="eastAsia" w:eastAsiaTheme="minorEastAsia"/>
                <w:lang w:val="en-US" w:eastAsia="zh-CN"/>
              </w:rPr>
              <w:t>77</w:t>
            </w:r>
          </w:p>
        </w:tc>
        <w:tc>
          <w:tcPr>
            <w:tcW w:w="2835" w:type="dxa"/>
            <w:vAlign w:val="center"/>
          </w:tcPr>
          <w:p>
            <w:pPr>
              <w:pStyle w:val="11"/>
              <w:rPr>
                <w:rFonts w:hint="default" w:eastAsiaTheme="minorEastAsia"/>
                <w:lang w:val="en-US" w:eastAsia="zh-CN"/>
              </w:rPr>
            </w:pPr>
            <w:r>
              <w:rPr>
                <w:rFonts w:hint="eastAsia" w:eastAsiaTheme="minorEastAsia"/>
                <w:lang w:val="en-US" w:eastAsia="zh-CN"/>
              </w:rPr>
              <w:t>10.113849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7370" w:type="dxa"/>
            <w:vAlign w:val="center"/>
          </w:tcPr>
          <w:p>
            <w:pPr>
              <w:pStyle w:val="12"/>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通用设备</w:t>
            </w:r>
          </w:p>
        </w:tc>
        <w:tc>
          <w:tcPr>
            <w:tcW w:w="2835" w:type="dxa"/>
            <w:vAlign w:val="center"/>
          </w:tcPr>
          <w:p>
            <w:pPr>
              <w:pStyle w:val="13"/>
              <w:rPr>
                <w:rFonts w:hint="eastAsia" w:eastAsiaTheme="minorEastAsia"/>
                <w:lang w:eastAsia="zh-CN"/>
              </w:rPr>
            </w:pPr>
            <w:r>
              <w:rPr>
                <w:rFonts w:hint="eastAsia" w:eastAsiaTheme="minorEastAsia"/>
                <w:lang w:eastAsia="zh-CN"/>
              </w:rPr>
              <w:t>42</w:t>
            </w:r>
          </w:p>
        </w:tc>
        <w:tc>
          <w:tcPr>
            <w:tcW w:w="2835" w:type="dxa"/>
            <w:vAlign w:val="center"/>
          </w:tcPr>
          <w:p>
            <w:pPr>
              <w:pStyle w:val="11"/>
              <w:rPr>
                <w:rFonts w:hint="eastAsia" w:eastAsiaTheme="minorEastAsia"/>
                <w:lang w:eastAsia="zh-CN"/>
              </w:rPr>
            </w:pPr>
            <w:r>
              <w:rPr>
                <w:rFonts w:hint="eastAsia" w:eastAsiaTheme="minorEastAsia"/>
                <w:lang w:eastAsia="zh-CN"/>
              </w:rPr>
              <w:t>7.652259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7370" w:type="dxa"/>
            <w:vAlign w:val="center"/>
          </w:tcPr>
          <w:p>
            <w:pPr>
              <w:pStyle w:val="12"/>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家具、用具、装具及动植物</w:t>
            </w:r>
          </w:p>
        </w:tc>
        <w:tc>
          <w:tcPr>
            <w:tcW w:w="2835" w:type="dxa"/>
            <w:vAlign w:val="center"/>
          </w:tcPr>
          <w:p>
            <w:pPr>
              <w:pStyle w:val="13"/>
              <w:rPr>
                <w:rFonts w:hint="eastAsia" w:eastAsiaTheme="minorEastAsia"/>
                <w:lang w:eastAsia="zh-CN"/>
              </w:rPr>
            </w:pPr>
            <w:r>
              <w:rPr>
                <w:rFonts w:hint="eastAsia" w:eastAsiaTheme="minorEastAsia"/>
                <w:lang w:eastAsia="zh-CN"/>
              </w:rPr>
              <w:t>35</w:t>
            </w:r>
          </w:p>
        </w:tc>
        <w:tc>
          <w:tcPr>
            <w:tcW w:w="2835" w:type="dxa"/>
            <w:vAlign w:val="center"/>
          </w:tcPr>
          <w:p>
            <w:pPr>
              <w:pStyle w:val="11"/>
              <w:rPr>
                <w:rFonts w:hint="eastAsia" w:eastAsiaTheme="minorEastAsia"/>
                <w:lang w:eastAsia="zh-CN"/>
              </w:rPr>
            </w:pPr>
            <w:r>
              <w:rPr>
                <w:rFonts w:hint="eastAsia" w:eastAsiaTheme="minorEastAsia"/>
                <w:lang w:eastAsia="zh-CN"/>
              </w:rPr>
              <w:t>2.46159</w:t>
            </w:r>
          </w:p>
        </w:tc>
      </w:tr>
    </w:tbl>
    <w:p>
      <w:pPr>
        <w:ind w:firstLine="640"/>
      </w:pPr>
      <w:bookmarkStart w:id="18" w:name="_GoBack"/>
      <w:bookmarkEnd w:id="18"/>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市级</w:t>
      </w:r>
      <w:r>
        <w:rPr>
          <w:rFonts w:eastAsia="方正仿宋_GBK"/>
          <w:color w:val="000000"/>
          <w:sz w:val="28"/>
        </w:rPr>
        <w:t>财政预算管理的“三公”经费，是指</w:t>
      </w:r>
      <w:r>
        <w:rPr>
          <w:rFonts w:hint="eastAsia" w:eastAsia="方正仿宋_GBK"/>
          <w:color w:val="000000"/>
          <w:sz w:val="28"/>
          <w:lang w:val="en-US" w:eastAsia="zh-CN"/>
        </w:rPr>
        <w:t>市级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hint="eastAsia" w:eastAsiaTheme="minorEastAsia"/>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w:t>
      </w:r>
    </w:p>
    <w:sectPr>
      <w:footerReference r:id="rId9" w:type="default"/>
      <w:footerReference r:id="rId10"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9" o:spid="_x0000_s4099"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0" o:spid="_x0000_s4100"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101" o:spid="_x0000_s4101"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2" o:spid="_x0000_s410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103" o:spid="_x0000_s4103"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04" o:spid="_x0000_s4104" o:spt="202" type="#_x0000_t202" style="position:absolute;left:0pt;margin-top:0pt;height:144pt;width:144pt;mso-position-horizontal:righ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TBjYWVmYjRhY2Y3ZDk5YjM0MGExZTBjYTQwNDY0OWQifQ=="/>
  </w:docVars>
  <w:rsids>
    <w:rsidRoot w:val="001630DE"/>
    <w:rsid w:val="000B5C3F"/>
    <w:rsid w:val="00141FAA"/>
    <w:rsid w:val="001630DE"/>
    <w:rsid w:val="00320D3B"/>
    <w:rsid w:val="00473F77"/>
    <w:rsid w:val="00660B6F"/>
    <w:rsid w:val="00C23980"/>
    <w:rsid w:val="00FB32AE"/>
    <w:rsid w:val="00FC7EA2"/>
    <w:rsid w:val="0D75477B"/>
    <w:rsid w:val="160921F7"/>
    <w:rsid w:val="174F5165"/>
    <w:rsid w:val="17EF6D39"/>
    <w:rsid w:val="1EDA0EF0"/>
    <w:rsid w:val="28327855"/>
    <w:rsid w:val="2BBD147C"/>
    <w:rsid w:val="42C76D22"/>
    <w:rsid w:val="44114AF1"/>
    <w:rsid w:val="4DF73314"/>
    <w:rsid w:val="5FA04DCA"/>
    <w:rsid w:val="64B9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2022-03-03T15:52:32Z</dcterms:created>
  <dcterms:modified xsi:type="dcterms:W3CDTF">2022-03-03T07:52:32Z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2022-03-03T15:52:28Z</dcterms:created>
  <dcterms:modified xsi:type="dcterms:W3CDTF">2022-03-03T07:52:28Z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2022-03-03T15:52:28Z</dcterms:created>
  <dcterms:modified xsi:type="dcterms:W3CDTF">2022-03-03T07:52:28Z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2022-03-03T15:52:29Z</dcterms:created>
  <dcterms:modified xsi:type="dcterms:W3CDTF">2022-03-03T07:52:29Z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2022-03-03T15:52:32Z</dcterms:created>
  <dcterms:modified xsi:type="dcterms:W3CDTF">2022-03-03T07:52:32Z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729E35F-22FD-429C-8F91-67310F37FA2B}">
  <ds:schemaRefs/>
</ds:datastoreItem>
</file>

<file path=customXml/itemProps11.xml><?xml version="1.0" encoding="utf-8"?>
<ds:datastoreItem xmlns:ds="http://schemas.openxmlformats.org/officeDocument/2006/customXml" ds:itemID="{DC743B7F-9D08-4440-BF88-879F36C1DA70}">
  <ds:schemaRefs/>
</ds:datastoreItem>
</file>

<file path=customXml/itemProps2.xml><?xml version="1.0" encoding="utf-8"?>
<ds:datastoreItem xmlns:ds="http://schemas.openxmlformats.org/officeDocument/2006/customXml" ds:itemID="{2F4DC71A-955A-4533-A0E8-436CD970DBBC}">
  <ds:schemaRefs/>
</ds:datastoreItem>
</file>

<file path=customXml/itemProps3.xml><?xml version="1.0" encoding="utf-8"?>
<ds:datastoreItem xmlns:ds="http://schemas.openxmlformats.org/officeDocument/2006/customXml" ds:itemID="{AEC303C9-9508-4418-8565-643476553983}">
  <ds:schemaRefs/>
</ds:datastoreItem>
</file>

<file path=customXml/itemProps4.xml><?xml version="1.0" encoding="utf-8"?>
<ds:datastoreItem xmlns:ds="http://schemas.openxmlformats.org/officeDocument/2006/customXml" ds:itemID="{25AF2B45-CFB4-46E1-B557-59B455445BBB}">
  <ds:schemaRefs/>
</ds:datastoreItem>
</file>

<file path=customXml/itemProps5.xml><?xml version="1.0" encoding="utf-8"?>
<ds:datastoreItem xmlns:ds="http://schemas.openxmlformats.org/officeDocument/2006/customXml" ds:itemID="{6A657579-30EC-42ED-8AD2-982D0BC507C9}">
  <ds:schemaRefs/>
</ds:datastoreItem>
</file>

<file path=customXml/itemProps6.xml><?xml version="1.0" encoding="utf-8"?>
<ds:datastoreItem xmlns:ds="http://schemas.openxmlformats.org/officeDocument/2006/customXml" ds:itemID="{691F4102-8C1D-41DB-95CC-9204BEA74B9A}">
  <ds:schemaRefs/>
</ds:datastoreItem>
</file>

<file path=customXml/itemProps7.xml><?xml version="1.0" encoding="utf-8"?>
<ds:datastoreItem xmlns:ds="http://schemas.openxmlformats.org/officeDocument/2006/customXml" ds:itemID="{0DB545C1-166C-4059-98FD-7B401869CE8A}">
  <ds:schemaRefs/>
</ds:datastoreItem>
</file>

<file path=customXml/itemProps8.xml><?xml version="1.0" encoding="utf-8"?>
<ds:datastoreItem xmlns:ds="http://schemas.openxmlformats.org/officeDocument/2006/customXml" ds:itemID="{72D9F16E-8214-49EE-8BCC-F17591A4B48C}">
  <ds:schemaRefs/>
</ds:datastoreItem>
</file>

<file path=customXml/itemProps9.xml><?xml version="1.0" encoding="utf-8"?>
<ds:datastoreItem xmlns:ds="http://schemas.openxmlformats.org/officeDocument/2006/customXml" ds:itemID="{565B88AE-5BDC-465F-B8EB-39B6CBEAA4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6851</Words>
  <Characters>8184</Characters>
  <Lines>79</Lines>
  <Paragraphs>22</Paragraphs>
  <TotalTime>28</TotalTime>
  <ScaleCrop>false</ScaleCrop>
  <LinksUpToDate>false</LinksUpToDate>
  <CharactersWithSpaces>8355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2022-03-03T08:54:00Z</dcterms:created>
  <dc:creator>t</dc:creator>
  <cp:lastModifiedBy>Lenovo1</cp:lastModifiedBy>
  <dcterms:modified xsi:type="dcterms:W3CDTF">2023-08-14T08:09:46Z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177EE2961EDE4B1AAD9D02E7B14D6CA6</vt:lpwstr>
  </property>
</Properties>
</file>